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Политика в отношении обработки персональных данных</w:t>
      </w:r>
    </w:p>
    <w:p>
      <w:pPr>
        <w:pStyle w:val="DocMeta"/>
      </w:pPr>
      <w:r>
        <w:rPr>
          <w:b/>
        </w:rPr>
        <w:t>для сайтов, форм обратной связи, чата поддержки и администрирования сайта</w:t>
      </w:r>
    </w:p>
    <w:p>
      <w:pPr>
        <w:pStyle w:val="DocMeta"/>
      </w:pPr>
      <w:r>
        <w:t>Редакция от 5 августа 2026 года</w:t>
      </w:r>
    </w:p>
    <w:p>
      <w:pPr>
        <w:spacing w:after="200"/>
      </w:pPr>
      <w:r>
        <w:rPr>
          <w:b/>
          <w:color w:val="2E74B5"/>
        </w:rPr>
        <w:t>Виктория Феникс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EEF4FA"/>
            <w:tcMar>
              <w:top w:w="140" w:type="dxa"/>
              <w:start w:w="160" w:type="dxa"/>
              <w:bottom w:w="140" w:type="dxa"/>
              <w:end w:w="160" w:type="dxa"/>
            </w:tcMar>
          </w:tcPr>
          <w:p>
            <w:pPr>
              <w:spacing w:after="0"/>
            </w:pPr>
            <w:r>
              <w:rPr>
                <w:b w:val="0"/>
              </w:rPr>
              <w:t>Политика описывает фактические категории данных сайта. Она не является согласием: согласие пользователя оформляется отдельно.</w:t>
            </w:r>
          </w:p>
        </w:tc>
      </w:tr>
    </w:tbl>
    <w:p>
      <w:pPr>
        <w:spacing w:after="0"/>
      </w:pPr>
    </w:p>
    <w:p>
      <w:pPr>
        <w:pStyle w:val="Heading1"/>
      </w:pPr>
      <w:r>
        <w:t>1. Общие положения</w:t>
      </w:r>
    </w:p>
    <w:p>
      <w:pPr>
        <w:pStyle w:val="Clause"/>
      </w:pPr>
      <w:r>
        <w:rPr>
          <w:b/>
        </w:rPr>
        <w:t xml:space="preserve">1.1. </w:t>
      </w:r>
      <w:r>
        <w:t>Настоящая Политика определяет порядок обработки и защиты персональных данных физическим лицом Науменко Виктория Робертовна, ИНН 051269951912, применяющим специальный налоговый режим «Налог на профессиональный доход» (далее — Оператор).</w:t>
      </w:r>
    </w:p>
    <w:p>
      <w:pPr>
        <w:pStyle w:val="Clause"/>
      </w:pPr>
      <w:r>
        <w:rPr>
          <w:b/>
        </w:rPr>
        <w:t xml:space="preserve">1.2. </w:t>
      </w:r>
      <w:r>
        <w:t>Политика применяется при использовании сайтов Оператора, включая домен, с которого открыт документ, форм заявок, чата поддержки, личных сообщений в подключённых сообществах VK и административной панели.</w:t>
      </w:r>
    </w:p>
    <w:p>
      <w:pPr>
        <w:pStyle w:val="Clause"/>
      </w:pPr>
      <w:r>
        <w:rPr>
          <w:b/>
        </w:rPr>
        <w:t xml:space="preserve">1.3. </w:t>
      </w:r>
      <w:r>
        <w:t>Оператор руководствуется Федеральным законом от 27.07.2006 № 152-ФЗ «О персональных данных», Законом РФ от 07.02.1992 № 2300-1 «О защите прав потребителей» и иными применимыми актами Российской Федерации.</w:t>
      </w:r>
    </w:p>
    <w:p>
      <w:pPr>
        <w:pStyle w:val="Clause"/>
      </w:pPr>
      <w:r>
        <w:rPr>
          <w:b/>
        </w:rPr>
        <w:t xml:space="preserve">1.4. </w:t>
      </w:r>
      <w:r>
        <w:t>Пользователь обязан ознакомиться с Политикой до отправки формы. Согласие на обработку персональных данных запрашивается отдельно и не объединяется с офертой, согласием на рекламу или публикацию материалов.</w:t>
      </w:r>
    </w:p>
    <w:p>
      <w:pPr>
        <w:pStyle w:val="Heading1"/>
      </w:pPr>
      <w:r>
        <w:t>2. Термины</w:t>
      </w:r>
    </w:p>
    <w:p>
      <w:pPr>
        <w:pStyle w:val="Clause"/>
      </w:pPr>
      <w:r>
        <w:rPr>
          <w:b/>
        </w:rPr>
        <w:t xml:space="preserve">2.1. </w:t>
      </w:r>
      <w:r>
        <w:t>Персональные данные — любая информация, относящаяся к прямо или косвенно определённому физическому лицу.</w:t>
      </w:r>
    </w:p>
    <w:p>
      <w:pPr>
        <w:pStyle w:val="Clause"/>
      </w:pPr>
      <w:r>
        <w:rPr>
          <w:b/>
        </w:rPr>
        <w:t xml:space="preserve">2.2. </w:t>
      </w:r>
      <w:r>
        <w:t>Обработка — любое действие или совокупность действий с персональными данными, включая сбор, запись, систематизацию, накопление, хранение, уточнение, использование, передачу, блокирование, удаление и уничтожение.</w:t>
      </w:r>
    </w:p>
    <w:p>
      <w:pPr>
        <w:pStyle w:val="Clause"/>
      </w:pPr>
      <w:r>
        <w:rPr>
          <w:b/>
        </w:rPr>
        <w:t xml:space="preserve">2.3. </w:t>
      </w:r>
      <w:r>
        <w:t>Пользователь — посетитель сайта, отправитель формы, участник переписки, заказчик либо покупатель.</w:t>
      </w:r>
    </w:p>
    <w:p>
      <w:pPr>
        <w:pStyle w:val="Heading1"/>
      </w:pPr>
      <w:r>
        <w:t>3. Категории субъектов, цели, данные и сроки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</w:tblPr>
      <w:tblGrid>
        <w:gridCol w:w="2340"/>
        <w:gridCol w:w="2340"/>
        <w:gridCol w:w="2340"/>
        <w:gridCol w:w="2340"/>
      </w:tblGrid>
      <w:tr>
        <w:trPr>
          <w:tblHeader w:val="true"/>
        </w:trPr>
        <w:tc>
          <w:tcPr>
            <w:tcW w:type="dxa" w:w="1944"/>
            <w:shd w:fill="2E74B5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  <w:color w:val="FFFFFF"/>
              </w:rPr>
              <w:t>Цель</w:t>
            </w:r>
          </w:p>
        </w:tc>
        <w:tc>
          <w:tcPr>
            <w:tcW w:type="dxa" w:w="3024"/>
            <w:shd w:fill="2E74B5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  <w:color w:val="FFFFFF"/>
              </w:rPr>
              <w:t>Категории данных</w:t>
            </w:r>
          </w:p>
        </w:tc>
        <w:tc>
          <w:tcPr>
            <w:tcW w:type="dxa" w:w="2088"/>
            <w:shd w:fill="2E74B5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  <w:color w:val="FFFFFF"/>
              </w:rPr>
              <w:t>Основание</w:t>
            </w:r>
          </w:p>
        </w:tc>
        <w:tc>
          <w:tcPr>
            <w:tcW w:type="dxa" w:w="2088"/>
            <w:shd w:fill="2E74B5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  <w:color w:val="FFFFFF"/>
              </w:rPr>
              <w:t>Срок</w:t>
            </w:r>
          </w:p>
        </w:tc>
      </w:tr>
      <w:tr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pStyle w:val="Compact"/>
            </w:pPr>
            <w:r>
              <w:t>Ответ на вопрос и ведение диалога</w:t>
            </w:r>
          </w:p>
        </w:tc>
        <w:tc>
          <w:tcPr>
            <w:tcW w:type="dxa" w:w="3024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pStyle w:val="Compact"/>
            </w:pPr>
            <w:r>
              <w:t>Текст сообщений и вложений; имя, телефон, email — если указаны; visitor ID; дата, страница, referrer и UTM; статусы переписки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pStyle w:val="Compact"/>
            </w:pPr>
            <w:r>
              <w:t>Отдельное согласие; по инициативе пользователя — действия до заключения договора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pStyle w:val="Compact"/>
            </w:pPr>
            <w:r>
              <w:t>До завершения диалога и 3 года после последнего сообщения, если более длительный срок не нужен для спора</w:t>
            </w:r>
          </w:p>
        </w:tc>
      </w:tr>
      <w:tr>
        <w:tc>
          <w:tcPr>
            <w:tcW w:type="dxa" w:w="1944"/>
            <w:shd w:fill="F7F9FC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pStyle w:val="Compact"/>
            </w:pPr>
            <w:r>
              <w:t>Обработка заявки и заключение договора</w:t>
            </w:r>
          </w:p>
        </w:tc>
        <w:tc>
          <w:tcPr>
            <w:tcW w:type="dxa" w:w="3024"/>
            <w:shd w:fill="F7F9FC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pStyle w:val="Compact"/>
            </w:pPr>
            <w:r>
              <w:t>Имя, телефон, email, выбранный продукт, тариф, сумма, комментарий, источник заявки</w:t>
            </w:r>
          </w:p>
        </w:tc>
        <w:tc>
          <w:tcPr>
            <w:tcW w:type="dxa" w:w="2088"/>
            <w:shd w:fill="F7F9FC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pStyle w:val="Compact"/>
            </w:pPr>
            <w:r>
              <w:t>Действия по запросу пользователя до заключения договора; исполнение договора</w:t>
            </w:r>
          </w:p>
        </w:tc>
        <w:tc>
          <w:tcPr>
            <w:tcW w:type="dxa" w:w="2088"/>
            <w:shd w:fill="F7F9FC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pStyle w:val="Compact"/>
            </w:pPr>
            <w:r>
              <w:t>Срок договора и 5 лет после его завершения либо иной обязательный срок</w:t>
            </w:r>
          </w:p>
        </w:tc>
      </w:tr>
      <w:tr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pStyle w:val="Compact"/>
            </w:pPr>
            <w:r>
              <w:t>Оплата и исполнение договора</w:t>
            </w:r>
          </w:p>
        </w:tc>
        <w:tc>
          <w:tcPr>
            <w:tcW w:type="dxa" w:w="3024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pStyle w:val="Compact"/>
            </w:pPr>
            <w:r>
              <w:t>Данные заказа, сумма и статус оплаты, данные чека, переписка, сведения для доступа или доставки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pStyle w:val="Compact"/>
            </w:pPr>
            <w:r>
              <w:t>Исполнение договора и обязанности по закону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pStyle w:val="Compact"/>
            </w:pPr>
            <w:r>
              <w:t>Не менее срока, установленного налоговым и бухгалтерским законодательством</w:t>
            </w:r>
          </w:p>
        </w:tc>
      </w:tr>
      <w:tr>
        <w:tc>
          <w:tcPr>
            <w:tcW w:type="dxa" w:w="1944"/>
            <w:shd w:fill="F7F9FC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pStyle w:val="Compact"/>
            </w:pPr>
            <w:r>
              <w:t>Доставка Magic Box</w:t>
            </w:r>
          </w:p>
        </w:tc>
        <w:tc>
          <w:tcPr>
            <w:tcW w:type="dxa" w:w="3024"/>
            <w:shd w:fill="F7F9FC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pStyle w:val="Compact"/>
            </w:pPr>
            <w:r>
              <w:t>ФИО получателя, телефон, email, адрес или пункт выдачи, состав заказа</w:t>
            </w:r>
          </w:p>
        </w:tc>
        <w:tc>
          <w:tcPr>
            <w:tcW w:type="dxa" w:w="2088"/>
            <w:shd w:fill="F7F9FC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pStyle w:val="Compact"/>
            </w:pPr>
            <w:r>
              <w:t>Исполнение договора</w:t>
            </w:r>
          </w:p>
        </w:tc>
        <w:tc>
          <w:tcPr>
            <w:tcW w:type="dxa" w:w="2088"/>
            <w:shd w:fill="F7F9FC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pStyle w:val="Compact"/>
            </w:pPr>
            <w:r>
              <w:t>До завершения доставки и далее в составе документов по договору</w:t>
            </w:r>
          </w:p>
        </w:tc>
      </w:tr>
      <w:tr>
        <w:tc>
          <w:tcPr>
            <w:tcW w:type="dxa" w:w="1944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pStyle w:val="Compact"/>
            </w:pPr>
            <w:r>
              <w:t>Работа сайта и безопасность</w:t>
            </w:r>
          </w:p>
        </w:tc>
        <w:tc>
          <w:tcPr>
            <w:tcW w:type="dxa" w:w="3024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pStyle w:val="Compact"/>
            </w:pPr>
            <w:r>
              <w:t>visitor ID, IP-адрес в оперативной памяти для ограничения частоты запросов, дата и время, URL, технические события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pStyle w:val="Compact"/>
            </w:pPr>
            <w:r>
              <w:t>Законный интерес в защите сайта при соблюдении прав пользователя</w:t>
            </w:r>
          </w:p>
        </w:tc>
        <w:tc>
          <w:tcPr>
            <w:tcW w:type="dxa" w:w="2088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pStyle w:val="Compact"/>
            </w:pPr>
            <w:r>
              <w:t>IP для ограничения частоты — кратковременно; cookie visitor ID — до 1 года; журналы безопасности — до 1 года</w:t>
            </w:r>
          </w:p>
        </w:tc>
      </w:tr>
      <w:tr>
        <w:tc>
          <w:tcPr>
            <w:tcW w:type="dxa" w:w="1944"/>
            <w:shd w:fill="F7F9FC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pStyle w:val="Compact"/>
            </w:pPr>
            <w:r>
              <w:t>Информационная или рекламная рассылка</w:t>
            </w:r>
          </w:p>
        </w:tc>
        <w:tc>
          <w:tcPr>
            <w:tcW w:type="dxa" w:w="3024"/>
            <w:shd w:fill="F7F9FC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pStyle w:val="Compact"/>
            </w:pPr>
            <w:r>
              <w:t>Имя, email, телефон или идентификатор мессенджера; факт и версия согласия</w:t>
            </w:r>
          </w:p>
        </w:tc>
        <w:tc>
          <w:tcPr>
            <w:tcW w:type="dxa" w:w="2088"/>
            <w:shd w:fill="F7F9FC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pStyle w:val="Compact"/>
            </w:pPr>
            <w:r>
              <w:t>Отдельное необязательное согласие</w:t>
            </w:r>
          </w:p>
        </w:tc>
        <w:tc>
          <w:tcPr>
            <w:tcW w:type="dxa" w:w="2088"/>
            <w:shd w:fill="F7F9FC"/>
            <w:tcMar>
              <w:top w:w="100" w:type="dxa"/>
              <w:start w:w="120" w:type="dxa"/>
              <w:bottom w:w="100" w:type="dxa"/>
              <w:end w:w="120" w:type="dxa"/>
            </w:tcMar>
            <w:vAlign w:val="top"/>
          </w:tcPr>
          <w:p>
            <w:pPr>
              <w:pStyle w:val="Compact"/>
            </w:pPr>
            <w:r>
              <w:t>До отзыва согласия или прекращения рассылки</w:t>
            </w:r>
          </w:p>
        </w:tc>
      </w:tr>
    </w:tbl>
    <w:p>
      <w:pPr>
        <w:pStyle w:val="Heading1"/>
      </w:pPr>
      <w:r>
        <w:t>4. Источники и способы обработки</w:t>
      </w:r>
    </w:p>
    <w:p>
      <w:pPr>
        <w:pStyle w:val="Clause"/>
      </w:pPr>
      <w:r>
        <w:rPr>
          <w:b/>
        </w:rPr>
        <w:t xml:space="preserve">4.1. </w:t>
      </w:r>
      <w:r>
        <w:t>Данные поступают непосредственно от пользователя через формы, чат, электронную почту, телефон и сообщения VK, а также автоматически при работе необходимых технических механизмов сайта.</w:t>
      </w:r>
    </w:p>
    <w:p>
      <w:pPr>
        <w:pStyle w:val="Clause"/>
      </w:pPr>
      <w:r>
        <w:rPr>
          <w:b/>
        </w:rPr>
        <w:t xml:space="preserve">4.2. </w:t>
      </w:r>
      <w:r>
        <w:t>Оператор обрабатывает данные смешанным способом: автоматизированно в информационных системах и неавтоматизированно при работе с обращениями и документами.</w:t>
      </w:r>
    </w:p>
    <w:p>
      <w:pPr>
        <w:pStyle w:val="Clause"/>
      </w:pPr>
      <w:r>
        <w:rPr>
          <w:b/>
        </w:rPr>
        <w:t xml:space="preserve">4.3. </w:t>
      </w:r>
      <w:r>
        <w:t>Сайт использует необходимый cookie `vf_visitor` со случайным псевдонимным идентификатором сроком до одного года для связи сообщений одного диалога. Неотправленный черновик сообщения может сохраняться локально в браузере пользователя до отправки, удаления либо очистки данных сайта.</w:t>
      </w:r>
    </w:p>
    <w:p>
      <w:pPr>
        <w:pStyle w:val="Clause"/>
      </w:pPr>
      <w:r>
        <w:rPr>
          <w:b/>
        </w:rPr>
        <w:t xml:space="preserve">4.4. </w:t>
      </w:r>
      <w:r>
        <w:t>IP-адрес используется приложением для временного ограничения частоты запросов и не включается приложением в карточку обращения. Хостинг-провайдер может вести собственные технические журналы в пределах договора и закона.</w:t>
      </w:r>
    </w:p>
    <w:p>
      <w:pPr>
        <w:pStyle w:val="Heading1"/>
      </w:pPr>
      <w:r>
        <w:t>5. Специальные категории данных</w:t>
      </w:r>
    </w:p>
    <w:p>
      <w:pPr>
        <w:pStyle w:val="Clause"/>
      </w:pPr>
      <w:r>
        <w:rPr>
          <w:b/>
        </w:rPr>
        <w:t xml:space="preserve">5.1. </w:t>
      </w:r>
      <w:r>
        <w:t>Оператор не просит направлять через обычные формы диагнозы, медицинские документы, сведения о здоровье, интимной жизни, религиозных или политических взглядах и иные специальные категории персональных данных.</w:t>
      </w:r>
    </w:p>
    <w:p>
      <w:pPr>
        <w:pStyle w:val="Clause"/>
      </w:pPr>
      <w:r>
        <w:rPr>
          <w:b/>
        </w:rPr>
        <w:t xml:space="preserve">5.2. </w:t>
      </w:r>
      <w:r>
        <w:t>Если пользователь по собственной инициативе включил такие сведения в свободный текст, Оператор ограничивает их обработку первичным просмотром и удаляет либо обезличивает их, если отсутствует законное основание. Для целенаправленной обработки сведений о здоровье запрашивается отдельное согласие в форме, соответствующей статье 10 Федерального закона № 152-ФЗ.</w:t>
      </w:r>
    </w:p>
    <w:p>
      <w:pPr>
        <w:pStyle w:val="Clause"/>
      </w:pPr>
      <w:r>
        <w:rPr>
          <w:b/>
        </w:rPr>
        <w:t xml:space="preserve">5.3. </w:t>
      </w:r>
      <w:r>
        <w:t>Услуги Оператора не являются медицинской помощью, диагностикой, лечением или психотерапией и не заменяют обращение к врачу или иному лицензированному специалисту.</w:t>
      </w:r>
    </w:p>
    <w:p>
      <w:pPr>
        <w:pStyle w:val="Heading1"/>
      </w:pPr>
      <w:r>
        <w:t>6. Получатели и поручение обработки</w:t>
      </w:r>
    </w:p>
    <w:p>
      <w:pPr>
        <w:pStyle w:val="Clause"/>
      </w:pPr>
      <w:r>
        <w:rPr>
          <w:b/>
        </w:rPr>
        <w:t xml:space="preserve">6.1. </w:t>
      </w:r>
      <w:r>
        <w:t>Доступ получают только Оператор и уполномоченные технические администраторы в объёме, необходимом для работы сайта и ответа пользователю.</w:t>
      </w:r>
    </w:p>
    <w:p>
      <w:pPr>
        <w:pStyle w:val="Clause"/>
      </w:pPr>
      <w:r>
        <w:rPr>
          <w:b/>
        </w:rPr>
        <w:t xml:space="preserve">6.2. </w:t>
      </w:r>
      <w:r>
        <w:t>При наличии правового основания данные могут передаваться: хостинг-провайдеру и техническим подрядчикам; оператору связи и электронной почты; VK — если диалог ведётся через VK; платёжному провайдеру — при оплате; службе доставки — для Magic Box; платформе курса или видеосвязи — если она указана в заказе; государственным органам — в предусмотренных законом случаях.</w:t>
      </w:r>
    </w:p>
    <w:p>
      <w:pPr>
        <w:pStyle w:val="Clause"/>
      </w:pPr>
      <w:r>
        <w:rPr>
          <w:b/>
        </w:rPr>
        <w:t xml:space="preserve">6.3. </w:t>
      </w:r>
      <w:r>
        <w:t>Оператор поручает обработку только при наличии договора или иного законного основания и требует конфиденциальности, безопасности и обработки по документированным целям.</w:t>
      </w:r>
    </w:p>
    <w:p>
      <w:pPr>
        <w:pStyle w:val="Heading1"/>
      </w:pPr>
      <w:r>
        <w:t>7. Локализация и трансграничная передача</w:t>
      </w:r>
    </w:p>
    <w:p>
      <w:pPr>
        <w:pStyle w:val="Clause"/>
      </w:pPr>
      <w:r>
        <w:rPr>
          <w:b/>
        </w:rPr>
        <w:t xml:space="preserve">7.1. </w:t>
      </w:r>
      <w:r>
        <w:t>При сборе персональных данных граждан Российской Федерации через сайт первичная запись, систематизация, накопление, хранение, уточнение и извлечение осуществляются с использованием баз данных на территории Российской Федерации.</w:t>
      </w:r>
    </w:p>
    <w:p>
      <w:pPr>
        <w:pStyle w:val="Clause"/>
      </w:pPr>
      <w:r>
        <w:rPr>
          <w:b/>
        </w:rPr>
        <w:t xml:space="preserve">7.2. </w:t>
      </w:r>
      <w:r>
        <w:t>До начала трансграничной передачи Оператор выполняет требования статьи 12 Федерального закона № 152-ФЗ, включая оценку иностранного получателя и уведомление Роскомнадзора, когда оно обязательно.</w:t>
      </w:r>
    </w:p>
    <w:p>
      <w:pPr>
        <w:pStyle w:val="Clause"/>
      </w:pPr>
      <w:r>
        <w:rPr>
          <w:b/>
        </w:rPr>
        <w:t xml:space="preserve">7.3. </w:t>
      </w:r>
      <w:r>
        <w:t>При самостоятельном переходе пользователя по ссылке на внешний сервис обработка этим сервисом регулируется его документами. Оператор не включает такие переходы в обязательное условие согласия на обработку данных на сайте.</w:t>
      </w:r>
    </w:p>
    <w:p>
      <w:pPr>
        <w:pStyle w:val="Heading1"/>
      </w:pPr>
      <w:r>
        <w:t>8. Права пользователя</w:t>
      </w:r>
    </w:p>
    <w:p>
      <w:pPr>
        <w:pStyle w:val="Clause"/>
      </w:pPr>
      <w:r>
        <w:rPr>
          <w:b/>
        </w:rPr>
        <w:t xml:space="preserve">8.1. </w:t>
      </w:r>
      <w:r>
        <w:t>Пользователь вправе получить сведения об обработке, потребовать уточнения, блокирования или уничтожения данных, отозвать согласие, возражать против рекламы и обжаловать действия Оператора в Роскомнадзор или суд.</w:t>
      </w:r>
    </w:p>
    <w:p>
      <w:pPr>
        <w:pStyle w:val="Clause"/>
      </w:pPr>
      <w:r>
        <w:rPr>
          <w:b/>
        </w:rPr>
        <w:t xml:space="preserve">8.2. </w:t>
      </w:r>
      <w:r>
        <w:t>Запрос направляется на Victoriafenix8@yandex.ru с темой «Персональные данные». Для защиты от раскрытия третьему лицу Оператор вправе запросить разумные сведения, позволяющие подтвердить личность и связь заявителя с данными.</w:t>
      </w:r>
    </w:p>
    <w:p>
      <w:pPr>
        <w:pStyle w:val="Clause"/>
      </w:pPr>
      <w:r>
        <w:rPr>
          <w:b/>
        </w:rPr>
        <w:t xml:space="preserve">8.3. </w:t>
      </w:r>
      <w:r>
        <w:t>Отзыв согласия не влияет на законность обработки до отзыва. После отзыва Оператор прекращает обработку, кроме случаев, когда её продолжение допускается законом или необходимо для исполнения договора, расчётов, претензий и обязательного хранения.</w:t>
      </w:r>
    </w:p>
    <w:p>
      <w:pPr>
        <w:pStyle w:val="Heading1"/>
      </w:pPr>
      <w:r>
        <w:t>9. Защита, прекращение и уничтожение</w:t>
      </w:r>
    </w:p>
    <w:p>
      <w:pPr>
        <w:pStyle w:val="Clause"/>
      </w:pPr>
      <w:r>
        <w:rPr>
          <w:b/>
        </w:rPr>
        <w:t xml:space="preserve">9.1. </w:t>
      </w:r>
      <w:r>
        <w:t>Оператор применяет правовые, организационные и технические меры: разграничение доступа, закрытые административные интерфейсы, защищённое соединение, резервное копирование, регистрацию действий, обновление программного обеспечения и контроль подрядчиков.</w:t>
      </w:r>
    </w:p>
    <w:p>
      <w:pPr>
        <w:pStyle w:val="Clause"/>
      </w:pPr>
      <w:r>
        <w:rPr>
          <w:b/>
        </w:rPr>
        <w:t xml:space="preserve">9.2. </w:t>
      </w:r>
      <w:r>
        <w:t>По достижении цели или истечении срока данные удаляются или обезличиваются, если закон не требует хранения. При подтверждённой неправомерной обработке данные блокируются и устраняются либо уничтожаются в сроки, установленные законом.</w:t>
      </w:r>
    </w:p>
    <w:p>
      <w:pPr>
        <w:pStyle w:val="Clause"/>
      </w:pPr>
      <w:r>
        <w:rPr>
          <w:b/>
        </w:rPr>
        <w:t xml:space="preserve">9.3. </w:t>
      </w:r>
      <w:r>
        <w:t>При инциденте Оператор принимает меры по локализации, оценке последствий, восстановлению безопасности и уведомлению Роскомнадзора в предусмотренных законом случаях.</w:t>
      </w:r>
    </w:p>
    <w:p>
      <w:pPr>
        <w:pStyle w:val="Heading1"/>
      </w:pPr>
      <w:r>
        <w:t>10. Заключительные положения</w:t>
      </w:r>
    </w:p>
    <w:p>
      <w:pPr>
        <w:pStyle w:val="Clause"/>
      </w:pPr>
      <w:r>
        <w:rPr>
          <w:b/>
        </w:rPr>
        <w:t xml:space="preserve">10.1. </w:t>
      </w:r>
      <w:r>
        <w:t>Новая редакция применяется с даты публикации и не ухудшает условия ранее заключённого договора задним числом.</w:t>
      </w:r>
    </w:p>
    <w:p>
      <w:pPr>
        <w:pStyle w:val="Clause"/>
      </w:pPr>
      <w:r>
        <w:rPr>
          <w:b/>
        </w:rPr>
        <w:t xml:space="preserve">10.2. </w:t>
      </w:r>
      <w:r>
        <w:t>Оператор размещает актуальную Политику в свободном доступе. Существенные изменения отражаются датой редакции.</w:t>
      </w:r>
    </w:p>
    <w:p>
      <w:r>
        <w:br w:type="page"/>
      </w:r>
    </w:p>
    <w:p>
      <w:pPr>
        <w:pStyle w:val="Heading1"/>
      </w:pPr>
      <w:r>
        <w:t>Реквизиты и контакты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7C9E2"/>
          <w:left w:val="single" w:sz="6" w:space="0" w:color="B7C9E2"/>
          <w:bottom w:val="single" w:sz="6" w:space="0" w:color="B7C9E2"/>
          <w:right w:val="single" w:sz="6" w:space="0" w:color="B7C9E2"/>
          <w:insideH w:val="single" w:sz="6" w:space="0" w:color="B7C9E2"/>
          <w:insideV w:val="single" w:sz="6" w:space="0" w:color="B7C9E2"/>
        </w:tblBorders>
      </w:tblPr>
      <w:tblGrid>
        <w:gridCol w:w="3024"/>
        <w:gridCol w:w="6048"/>
      </w:tblGrid>
      <w:tr>
        <w:tc>
          <w:tcPr>
            <w:tcW w:type="dxa" w:w="3024"/>
            <w:vAlign w:val="top"/>
            <w:shd w:fill="DCE6F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Оператор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t>Науменко Виктория Робертовна</w:t>
            </w:r>
          </w:p>
        </w:tc>
      </w:tr>
      <w:tr>
        <w:tc>
          <w:tcPr>
            <w:tcW w:type="dxa" w:w="3024"/>
            <w:vAlign w:val="top"/>
            <w:shd w:fill="D9E2F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Статус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t>Физическое лицо, применяющее специальный налоговый режим «Налог на профессиональный доход»</w:t>
            </w:r>
          </w:p>
        </w:tc>
      </w:tr>
      <w:tr>
        <w:tc>
          <w:tcPr>
            <w:tcW w:type="dxa" w:w="3024"/>
            <w:vAlign w:val="top"/>
            <w:shd w:fill="DCE6F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ИНН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t>051269951912</w:t>
            </w:r>
          </w:p>
        </w:tc>
      </w:tr>
      <w:tr>
        <w:tc>
          <w:tcPr>
            <w:tcW w:type="dxa" w:w="3024"/>
            <w:vAlign w:val="top"/>
            <w:shd w:fill="D9E2F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Телефон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t>+7 495-363-71-63</w:t>
            </w:r>
          </w:p>
        </w:tc>
      </w:tr>
      <w:tr>
        <w:tc>
          <w:tcPr>
            <w:tcW w:type="dxa" w:w="3024"/>
            <w:vAlign w:val="top"/>
            <w:shd w:fill="DCE6F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Электронная почта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t>Victoriafenix8@yandex.ru</w:t>
            </w:r>
          </w:p>
        </w:tc>
      </w:tr>
      <w:tr>
        <w:tc>
          <w:tcPr>
            <w:tcW w:type="dxa" w:w="3024"/>
            <w:vAlign w:val="top"/>
            <w:shd w:fill="D9E2F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Telegram для обращений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t>@Repit8</w:t>
            </w:r>
          </w:p>
        </w:tc>
      </w:tr>
      <w:tr>
        <w:tc>
          <w:tcPr>
            <w:tcW w:type="dxa" w:w="3024"/>
            <w:vAlign w:val="top"/>
            <w:shd w:fill="DCE6F1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Сайт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t>https://victoriafenix.ru</w:t>
            </w:r>
          </w:p>
        </w:tc>
      </w:tr>
      <w:tr>
        <w:tc>
          <w:tcPr>
            <w:tcW w:type="dxa" w:w="3024"/>
            <w:vAlign w:val="top"/>
            <w:shd w:fill="D9E2F3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</w:rPr>
              <w:t>Почтовый адрес</w:t>
            </w:r>
          </w:p>
        </w:tc>
        <w:tc>
          <w:tcPr>
            <w:tcW w:type="dxa" w:w="6048"/>
            <w:vAlign w:val="top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pStyle w:val="Compact"/>
            </w:pPr>
            <w:r>
              <w:rPr>
                <w:b/>
                <w:color w:val="C00000"/>
              </w:rPr>
              <w:t>[УКАЗАТЬ ПОЧТОВЫЙ АДРЕС ДЛЯ ПРЕТЕНЗИЙ И ВОЗВРАТОВ ДО ПУБЛИКАЦИИ]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666666"/>
        <w:sz w:val="18"/>
      </w:rPr>
      <w:t xml:space="preserve">Страница </w:t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color w:val="666666"/>
        <w:sz w:val="18"/>
      </w:rPr>
      <w:t>Политика обработки персональных данных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color w:val="1F1F1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F4D78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ocMeta">
    <w:name w:val="Doc Meta"/>
    <w:pPr>
      <w:spacing w:after="80"/>
    </w:pPr>
    <w:rPr>
      <w:rFonts w:ascii="Calibri" w:hAnsi="Calibri"/>
      <w:color w:val="666666"/>
      <w:sz w:val="19"/>
    </w:rPr>
  </w:style>
  <w:style w:type="paragraph" w:customStyle="1" w:styleId="Clause">
    <w:name w:val="Clause"/>
    <w:pPr>
      <w:keepLines w:val="0"/>
      <w:spacing w:after="120" w:line="264" w:lineRule="auto"/>
    </w:pPr>
    <w:rPr>
      <w:rFonts w:ascii="Calibri" w:hAnsi="Calibri"/>
      <w:sz w:val="22"/>
    </w:rPr>
  </w:style>
  <w:style w:type="paragraph" w:customStyle="1" w:styleId="Compact">
    <w:name w:val="Compact"/>
    <w:pPr>
      <w:spacing w:after="60" w:line="240" w:lineRule="auto"/>
    </w:pPr>
    <w:rPr>
      <w:rFonts w:ascii="Calibri" w:hAnsi="Calibri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Политика в отношении обработки персональных данных</dc:title>
  <dc:subject>Юридические документы сайта Виктории Феникс</dc:subject>
  <dc:creator>Науменко Виктория Робертовна</dc:creator>
  <cp:keywords>оферта, персональные данные, защита прав потребителей</cp:keywords>
  <dc:description>Публичная редакция от 05.08.2026</dc:description>
  <cp:lastModifiedBy>Науменко Виктория Робертовна</cp:lastModifiedBy>
  <cp:revision>1</cp:revision>
  <dcterms:created xsi:type="dcterms:W3CDTF">2013-12-23T23:15:00Z</dcterms:created>
  <dcterms:modified xsi:type="dcterms:W3CDTF">2013-12-23T23:15:00Z</dcterms:modified>
  <cp:category/>
</cp:coreProperties>
</file>